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«ВОЛНА» г. Казань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Тазиев 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Степанов Иван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Кирилл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Тагиров Георгий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Зямалетдинов Даниэль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Галиахметов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Нажмиев Умар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Пахтеев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Хасаншин Искандер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Садыков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Буянов Богдан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Морсин Платон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Абунагимов Камиль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Бобров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Султанов Камиль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Гарифуллин Амир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Галиуллин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тренерРахимов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«Белые Мелведи» г. Кимры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Горбунов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Кубанков Денис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Буйдинов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Баландин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Чернышев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88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Морозов Савва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Платонов Денис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Анзин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Соболь 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Гусаков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Мухин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Порошенко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