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Локомотив» г. Ярославль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Шувалов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Нелин Денис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08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89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Сопов Андрей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Ухов Тимофей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Смирнов Савва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Ященин Савелий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Сухов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Соценко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Городков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Погосян Абрам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Казанцев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Цаплин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Осипов Алекскй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Штайгер Марк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Качалов Матвей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Дмитриев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89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Горбачев Егор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Грибанов Кирилл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Соболев А..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«Дмитров» г. Дмитров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Конищев Антон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Ситников Егор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Парамонов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Гусаров Федор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Мошков Николай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Золотов 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Юрасов Владимир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Доля Владислав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Шалыгин Артем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Бельмас Иван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Семин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Пономарев Глеб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Питерщиков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Лукин Александр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Емельянов Кирилл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96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Дубровский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Покась Иван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Заречнов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Гружевская Мария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60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Гружевский Антон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Главный тренер: Быхун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